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90" w:rsidRDefault="00C35754" w:rsidP="00C357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78.15pt;margin-top:-31.65pt;width:560.45pt;height:791.15pt;z-index:251659264;mso-position-horizontal-relative:text;mso-position-vertical-relative:text;mso-width-relative:page;mso-height-relative:page">
            <v:imagedata r:id="rId7" o:title=""/>
            <w10:wrap type="square"/>
          </v:shape>
          <o:OLEObject Type="Embed" ProgID="AcroExch.Document.11" ShapeID="_x0000_s1028" DrawAspect="Content" ObjectID="_1548509390" r:id="rId8"/>
        </w:pict>
      </w:r>
      <w:bookmarkEnd w:id="0"/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lastRenderedPageBreak/>
        <w:t>4) принятие кодекса этики и служебного поведения работников образовательной организации;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5) предотвращение и урегулирование конфликта интересов работников образовательной организации;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6) недопущение составления неофициальной отчетности и использования поддельных документов.</w:t>
      </w:r>
    </w:p>
    <w:p w:rsidR="00101956" w:rsidRDefault="00101956" w:rsidP="00286056">
      <w:pPr>
        <w:pStyle w:val="a3"/>
        <w:keepNext/>
        <w:spacing w:after="0" w:afterAutospacing="0"/>
        <w:ind w:firstLine="709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2. Используемые в Антикоррупционной политике понятия и определения</w:t>
      </w:r>
    </w:p>
    <w:p w:rsidR="00286056" w:rsidRPr="00286056" w:rsidRDefault="00286056" w:rsidP="00286056">
      <w:pPr>
        <w:pStyle w:val="a7"/>
      </w:pP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proofErr w:type="gramStart"/>
      <w:r>
        <w:rPr>
          <w:bCs/>
          <w:iCs/>
          <w:color w:val="000000"/>
        </w:rPr>
        <w:t>Коррупция</w:t>
      </w:r>
      <w:r>
        <w:rPr>
          <w:color w:val="000000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color w:val="000000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 № 273-ФЗ «О противодействии коррупции»).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bCs/>
          <w:iCs/>
          <w:color w:val="000000"/>
        </w:rPr>
        <w:t>Противодействие коррупции</w:t>
      </w:r>
      <w:r>
        <w:rPr>
          <w:color w:val="000000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№ 273-ФЗ «О противодействии коррупции»):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в) по минимизации и (или) ликвидации последствий коррупционных правонарушений.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bCs/>
          <w:iCs/>
          <w:color w:val="000000"/>
        </w:rPr>
        <w:t>Организация</w:t>
      </w:r>
      <w:r>
        <w:rPr>
          <w:color w:val="000000"/>
        </w:rPr>
        <w:t xml:space="preserve"> – юридическое лицо</w:t>
      </w:r>
      <w:r w:rsidR="00286056">
        <w:rPr>
          <w:color w:val="000000"/>
        </w:rPr>
        <w:t>,</w:t>
      </w:r>
      <w:r>
        <w:rPr>
          <w:color w:val="000000"/>
        </w:rPr>
        <w:t xml:space="preserve"> независимо от формы собственности, организационно-правовой формы и отраслевой принадлежности.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bCs/>
          <w:iCs/>
          <w:color w:val="000000"/>
        </w:rPr>
        <w:t>Контрагент</w:t>
      </w:r>
      <w:r>
        <w:rPr>
          <w:color w:val="000000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bCs/>
          <w:iCs/>
          <w:color w:val="000000"/>
        </w:rPr>
        <w:t>Взятка</w:t>
      </w:r>
      <w:r>
        <w:rPr>
          <w:color w:val="000000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bCs/>
          <w:iCs/>
          <w:color w:val="000000"/>
        </w:rPr>
        <w:t>Коммерческий подкуп</w:t>
      </w:r>
      <w:r>
        <w:rPr>
          <w:color w:val="000000"/>
        </w:rPr>
        <w:t xml:space="preserve"> – незаконн</w:t>
      </w:r>
      <w:r w:rsidR="00286056">
        <w:rPr>
          <w:color w:val="000000"/>
        </w:rPr>
        <w:t>ая</w:t>
      </w:r>
      <w:r>
        <w:rPr>
          <w:color w:val="000000"/>
        </w:rPr>
        <w:t xml:space="preserve">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proofErr w:type="gramStart"/>
      <w:r>
        <w:rPr>
          <w:bCs/>
          <w:iCs/>
          <w:color w:val="000000"/>
        </w:rPr>
        <w:t>Конфликт интересов</w:t>
      </w:r>
      <w:r>
        <w:rPr>
          <w:color w:val="000000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</w:t>
      </w:r>
      <w:r>
        <w:rPr>
          <w:color w:val="000000"/>
        </w:rPr>
        <w:lastRenderedPageBreak/>
        <w:t>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color w:val="000000"/>
        </w:rPr>
        <w:t xml:space="preserve"> (представителем организации) которой он является.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bCs/>
          <w:iCs/>
          <w:color w:val="000000"/>
        </w:rPr>
        <w:t>Личная заинтересованность работника (представителя учреждения)</w:t>
      </w:r>
      <w:r>
        <w:rPr>
          <w:color w:val="000000"/>
        </w:rPr>
        <w:t xml:space="preserve">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01956" w:rsidRDefault="00101956" w:rsidP="00286056">
      <w:pPr>
        <w:pStyle w:val="a3"/>
        <w:spacing w:before="0" w:beforeAutospacing="0" w:after="0" w:afterAutospacing="0"/>
        <w:jc w:val="both"/>
        <w:rPr>
          <w:color w:val="454545"/>
        </w:rPr>
      </w:pPr>
    </w:p>
    <w:p w:rsidR="00101956" w:rsidRDefault="00101956" w:rsidP="00286056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</w:rPr>
      </w:pPr>
      <w:r>
        <w:rPr>
          <w:b/>
          <w:bCs/>
          <w:iCs/>
          <w:color w:val="000000"/>
        </w:rPr>
        <w:t>3</w:t>
      </w:r>
      <w:r>
        <w:rPr>
          <w:b/>
          <w:bCs/>
          <w:iCs/>
        </w:rPr>
        <w:t>. Основные принципы антикоррупционной деятельности</w:t>
      </w:r>
    </w:p>
    <w:p w:rsidR="00286056" w:rsidRPr="00286056" w:rsidRDefault="00286056" w:rsidP="00286056">
      <w:pPr>
        <w:pStyle w:val="a3"/>
        <w:spacing w:before="0" w:beforeAutospacing="0" w:after="0" w:afterAutospacing="0"/>
        <w:ind w:firstLine="709"/>
        <w:jc w:val="center"/>
        <w:rPr>
          <w:color w:val="454545"/>
        </w:rPr>
      </w:pPr>
    </w:p>
    <w:p w:rsidR="00101956" w:rsidRDefault="00101956" w:rsidP="00101956">
      <w:pPr>
        <w:pStyle w:val="a3"/>
        <w:keepNext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color w:val="000000"/>
        </w:rPr>
        <w:t>Системы мер противодействия коррупции в учреждении основываться на следующих</w:t>
      </w:r>
      <w:r>
        <w:rPr>
          <w:bCs/>
          <w:color w:val="000000"/>
        </w:rPr>
        <w:t xml:space="preserve"> ключевых принципах.</w:t>
      </w:r>
    </w:p>
    <w:p w:rsidR="00101956" w:rsidRDefault="00101956" w:rsidP="00101956">
      <w:pPr>
        <w:pStyle w:val="a3"/>
        <w:keepNext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iCs/>
          <w:color w:val="000000"/>
        </w:rPr>
        <w:t>3.1. Принцип соответствия политики организации действующему законодательству и общепринятым нормам.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образовательной организации.</w:t>
      </w:r>
    </w:p>
    <w:p w:rsidR="00101956" w:rsidRDefault="00101956" w:rsidP="00101956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454545"/>
        </w:rPr>
      </w:pPr>
      <w:r>
        <w:rPr>
          <w:iCs/>
          <w:color w:val="000000"/>
        </w:rPr>
        <w:t>Принцип личного примера руководства.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Ключевая роль руководства образовательной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101956" w:rsidRDefault="00101956" w:rsidP="00101956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454545"/>
        </w:rPr>
      </w:pPr>
      <w:r>
        <w:rPr>
          <w:iCs/>
          <w:color w:val="000000"/>
        </w:rPr>
        <w:t>Принцип вовлеченности работников.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Информированность работников образовательной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101956" w:rsidRDefault="00101956" w:rsidP="00101956">
      <w:pPr>
        <w:pStyle w:val="a3"/>
        <w:numPr>
          <w:ilvl w:val="1"/>
          <w:numId w:val="1"/>
        </w:numPr>
        <w:spacing w:before="0" w:beforeAutospacing="0" w:after="0" w:afterAutospacing="0"/>
        <w:ind w:left="0" w:right="-726" w:firstLine="709"/>
        <w:jc w:val="both"/>
        <w:rPr>
          <w:color w:val="454545"/>
        </w:rPr>
      </w:pPr>
      <w:r>
        <w:rPr>
          <w:iCs/>
          <w:color w:val="000000"/>
        </w:rPr>
        <w:t>Принцип соразмерности антикоррупционных процедур риску  коррупции.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Разработка и выполнение комплекса мероприятий, позволяющих снизить вероятность вовлечения образовательной организации, ее руководителей и работников в коррупционную деятельность, осуществляется с учетом существующих в деятельности данной образовательной организации коррупционных рисков.</w:t>
      </w:r>
    </w:p>
    <w:p w:rsidR="00101956" w:rsidRDefault="00101956" w:rsidP="00101956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454545"/>
        </w:rPr>
      </w:pPr>
      <w:r>
        <w:rPr>
          <w:iCs/>
          <w:color w:val="000000"/>
        </w:rPr>
        <w:t>Принцип эффективности антикоррупционных процедур.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Применение в образовательной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>
        <w:rPr>
          <w:color w:val="000000"/>
        </w:rPr>
        <w:t>приносят значимый результат</w:t>
      </w:r>
      <w:proofErr w:type="gramEnd"/>
      <w:r>
        <w:rPr>
          <w:color w:val="000000"/>
        </w:rPr>
        <w:t>.</w:t>
      </w:r>
    </w:p>
    <w:p w:rsidR="00101956" w:rsidRDefault="00101956" w:rsidP="00101956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454545"/>
        </w:rPr>
      </w:pPr>
      <w:r>
        <w:rPr>
          <w:iCs/>
          <w:color w:val="000000"/>
        </w:rPr>
        <w:t>Принцип ответственности и неотвратимости наказания.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Неотвратимость наказания для работников образовательной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образовательной организации за реализацию внутриорганизационной антикоррупционной политики.</w:t>
      </w:r>
    </w:p>
    <w:p w:rsidR="00101956" w:rsidRDefault="00101956" w:rsidP="00101956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454545"/>
        </w:rPr>
      </w:pPr>
      <w:r>
        <w:rPr>
          <w:iCs/>
          <w:color w:val="000000"/>
        </w:rPr>
        <w:t xml:space="preserve">Принцип открытости 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Информирование контрагентов, партнеров и общественности о принятых в образовательной организации антикоррупционных стандартах ведения деятельности.</w:t>
      </w:r>
    </w:p>
    <w:p w:rsidR="00101956" w:rsidRDefault="00101956" w:rsidP="00101956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454545"/>
        </w:rPr>
      </w:pPr>
      <w:r>
        <w:rPr>
          <w:iCs/>
          <w:color w:val="000000"/>
        </w:rPr>
        <w:t>Принцип постоянного контроля и регулярного мониторинга.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их исполнением.</w:t>
      </w:r>
    </w:p>
    <w:p w:rsidR="00101956" w:rsidRDefault="00101956" w:rsidP="00101956">
      <w:pPr>
        <w:pStyle w:val="a3"/>
        <w:spacing w:after="0" w:afterAutospacing="0"/>
        <w:ind w:firstLine="709"/>
        <w:jc w:val="center"/>
        <w:rPr>
          <w:color w:val="454545"/>
        </w:rPr>
      </w:pPr>
      <w:r>
        <w:rPr>
          <w:b/>
          <w:bCs/>
          <w:iCs/>
          <w:color w:val="000000"/>
        </w:rPr>
        <w:t>4. Область применения Антикоррупционной политики и круг лиц, попадающих под ее действие</w:t>
      </w:r>
    </w:p>
    <w:p w:rsidR="00101956" w:rsidRDefault="00101956" w:rsidP="00101956">
      <w:pPr>
        <w:pStyle w:val="a3"/>
        <w:spacing w:after="0" w:afterAutospacing="0"/>
        <w:ind w:firstLine="709"/>
        <w:jc w:val="both"/>
        <w:rPr>
          <w:color w:val="454545"/>
        </w:rPr>
      </w:pPr>
      <w:r>
        <w:rPr>
          <w:color w:val="000000"/>
        </w:rPr>
        <w:lastRenderedPageBreak/>
        <w:t xml:space="preserve">4.1. Основным кругом лиц, попадающих под действие Антикоррупционной политики, являются работники </w:t>
      </w:r>
      <w:r>
        <w:t>образовательной организации</w:t>
      </w:r>
      <w:r>
        <w:rPr>
          <w:color w:val="000000"/>
        </w:rPr>
        <w:t xml:space="preserve">, находящиеся с ней в трудовых отношениях, вне зависимости от занимаемой должности и выполняемых функций. Антикоррупционная политика распространяется и на лица, выполняющие для </w:t>
      </w:r>
      <w:r>
        <w:t>образовательной организации</w:t>
      </w:r>
      <w:r>
        <w:rPr>
          <w:color w:val="000000"/>
        </w:rPr>
        <w:t xml:space="preserve">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</w:p>
    <w:p w:rsidR="00101956" w:rsidRDefault="00101956" w:rsidP="00286056">
      <w:pPr>
        <w:pStyle w:val="a3"/>
        <w:keepNext/>
        <w:spacing w:after="0" w:afterAutospacing="0"/>
        <w:ind w:firstLine="709"/>
        <w:jc w:val="center"/>
        <w:rPr>
          <w:b/>
          <w:bCs/>
          <w:iCs/>
        </w:rPr>
      </w:pPr>
      <w:r>
        <w:rPr>
          <w:b/>
          <w:bCs/>
          <w:iCs/>
          <w:color w:val="000000"/>
        </w:rPr>
        <w:t>5. Определение должностных лиц</w:t>
      </w:r>
      <w:r>
        <w:rPr>
          <w:b/>
          <w:bCs/>
          <w:iCs/>
        </w:rPr>
        <w:t>, ответственных за реализацию Антикоррупционной политики</w:t>
      </w:r>
    </w:p>
    <w:p w:rsidR="00286056" w:rsidRPr="00286056" w:rsidRDefault="00286056" w:rsidP="00286056">
      <w:pPr>
        <w:pStyle w:val="a7"/>
      </w:pPr>
    </w:p>
    <w:p w:rsidR="00101956" w:rsidRDefault="00101956" w:rsidP="00101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Образовательная организация определяет должностных лиц, ответственных за противодействие коррупции, исходя из собственных потребностей, задач, специфики деятельности, штатной численности, организационной структуры, материальных ресурсов и др. признаков.</w:t>
      </w:r>
    </w:p>
    <w:p w:rsidR="00101956" w:rsidRDefault="00101956" w:rsidP="00101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функции и полномочия должностных лиц, ответственных за противодействие коррупции, должны быть определены в трудовых договорах и должностных инструкциях ответственных работников;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Эти обязанности включают в частности: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454545"/>
        </w:rPr>
        <w:t xml:space="preserve">- </w:t>
      </w:r>
      <w:r>
        <w:rPr>
          <w:color w:val="000000"/>
        </w:rPr>
        <w:t>разработку локальных нормативных актов учреждения, направленных на реализацию мер по предупреждению коррупции;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454545"/>
        </w:rPr>
        <w:t xml:space="preserve">- </w:t>
      </w:r>
      <w:r>
        <w:rPr>
          <w:color w:val="000000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- организация проведения оценки коррупционных рисков;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или иными лицами;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проведение оценки результатов антикоррупционной работы и подготовка соответствующих отчетных материалов учредителю образовательной организации.</w:t>
      </w:r>
    </w:p>
    <w:p w:rsidR="00101956" w:rsidRDefault="00101956" w:rsidP="00101956">
      <w:pPr>
        <w:pStyle w:val="a3"/>
        <w:spacing w:after="0" w:afterAutospacing="0"/>
        <w:ind w:firstLine="709"/>
        <w:jc w:val="center"/>
        <w:rPr>
          <w:color w:val="454545"/>
        </w:rPr>
      </w:pPr>
      <w:r>
        <w:rPr>
          <w:b/>
          <w:bCs/>
          <w:iCs/>
          <w:color w:val="000000"/>
        </w:rPr>
        <w:t>6. Определение и закрепление обязанностей работников образовательной организации, связанных с предупреждением и противодействием коррупции</w:t>
      </w:r>
    </w:p>
    <w:p w:rsidR="00101956" w:rsidRDefault="00101956" w:rsidP="00101956">
      <w:pPr>
        <w:pStyle w:val="a3"/>
        <w:spacing w:after="0" w:afterAutospacing="0"/>
        <w:ind w:firstLine="709"/>
        <w:jc w:val="both"/>
      </w:pPr>
      <w:r>
        <w:rPr>
          <w:color w:val="000000"/>
        </w:rPr>
        <w:t>6.1. Обязанности работников образовательной организации в связи с предупреждением и противодействием коррупции являются общими для всех работников</w:t>
      </w:r>
      <w:r>
        <w:t>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6.2. Общими обязанностями работников в связи с предупреждением и противодействием коррупции являются следующие: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>
        <w:t>образовательной организации;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t>образовательной организации;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lastRenderedPageBreak/>
        <w:t>- незамедлительно информировать руководство образовательной организации о случаях склонения работника к совершению коррупционных правонарушений;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- незамедлительно информировать руководство образовательной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101956" w:rsidRDefault="00101956" w:rsidP="001019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Специальные обязанности в связи с предупреждением и противодействием коррупции могут устанавливаться для следующих категорий лиц, работающих в организации: </w:t>
      </w:r>
    </w:p>
    <w:p w:rsidR="00101956" w:rsidRDefault="00101956" w:rsidP="001019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руководства образовательной организации; </w:t>
      </w:r>
    </w:p>
    <w:p w:rsidR="00101956" w:rsidRDefault="00101956" w:rsidP="001019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лиц, ответственных за реализацию Антикоррупционной политики; </w:t>
      </w:r>
    </w:p>
    <w:p w:rsidR="00101956" w:rsidRDefault="00101956" w:rsidP="001019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работников, чья деятельность связана с коррупционными рисками; </w:t>
      </w:r>
    </w:p>
    <w:p w:rsidR="00101956" w:rsidRDefault="00101956" w:rsidP="001019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лиц, осуществляющих внутренний контроль и т.д.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 xml:space="preserve">6.4. В целях обеспечения эффективного исполнения возложенных на работников обязанностей регламентируются процедуры их соблюдения. </w:t>
      </w:r>
    </w:p>
    <w:p w:rsidR="00101956" w:rsidRPr="00286056" w:rsidRDefault="00101956" w:rsidP="002860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Исходя их положений статьи 57 ТК РФ по соглашению сторон в трудовой договор, заключаемый с работником при приёме его на работу в </w:t>
      </w:r>
      <w:r>
        <w:t>образовательную организацию, могут включаться права и обязанности работника и</w:t>
      </w:r>
      <w:r>
        <w:rPr>
          <w:color w:val="000000"/>
        </w:rPr>
        <w:t xml:space="preserve"> работодателя, установленные данным локальным нормативным актом. </w:t>
      </w:r>
    </w:p>
    <w:p w:rsidR="00101956" w:rsidRDefault="00101956" w:rsidP="00286056">
      <w:pPr>
        <w:pStyle w:val="a3"/>
        <w:keepNext/>
        <w:spacing w:after="0" w:afterAutospacing="0"/>
        <w:ind w:firstLine="709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7. Установление перечня реализуемых </w:t>
      </w:r>
      <w:r>
        <w:rPr>
          <w:b/>
        </w:rPr>
        <w:t>образовательной организацией</w:t>
      </w:r>
      <w:r>
        <w:rPr>
          <w:b/>
          <w:bCs/>
          <w:iCs/>
          <w:color w:val="000000"/>
        </w:rPr>
        <w:t xml:space="preserve"> антикоррупционных мероприятий, стандартов и процедур и порядок их выполнения (применения)</w:t>
      </w:r>
    </w:p>
    <w:p w:rsidR="00286056" w:rsidRDefault="00286056" w:rsidP="00286056">
      <w:pPr>
        <w:pStyle w:val="a7"/>
      </w:pPr>
    </w:p>
    <w:p w:rsidR="00101956" w:rsidRPr="00286056" w:rsidRDefault="00101956" w:rsidP="002860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Образовательная организация устанавливает следующий перечень антикоррупционных мероприятий и порядок их выполнения (применения). </w:t>
      </w:r>
    </w:p>
    <w:tbl>
      <w:tblPr>
        <w:tblW w:w="10260" w:type="dxa"/>
        <w:tblCellSpacing w:w="0" w:type="dxa"/>
        <w:tblInd w:w="-61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2"/>
        <w:gridCol w:w="6858"/>
      </w:tblGrid>
      <w:tr w:rsidR="00101956" w:rsidTr="00101956">
        <w:trPr>
          <w:trHeight w:val="120"/>
          <w:tblCellSpacing w:w="0" w:type="dxa"/>
        </w:trPr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120" w:lineRule="atLeast"/>
              <w:ind w:firstLine="709"/>
              <w:rPr>
                <w:color w:val="454545"/>
              </w:rPr>
            </w:pPr>
            <w:r>
              <w:rPr>
                <w:b/>
                <w:bCs/>
                <w:color w:val="000000"/>
              </w:rPr>
              <w:t>Направление</w:t>
            </w: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120" w:lineRule="atLeast"/>
              <w:ind w:firstLine="709"/>
              <w:rPr>
                <w:color w:val="454545"/>
              </w:rPr>
            </w:pPr>
            <w:r>
              <w:rPr>
                <w:b/>
                <w:bCs/>
                <w:color w:val="000000"/>
              </w:rPr>
              <w:t>Мероприятие</w:t>
            </w:r>
          </w:p>
        </w:tc>
      </w:tr>
      <w:tr w:rsidR="00101956" w:rsidTr="00101956">
        <w:trPr>
          <w:trHeight w:val="240"/>
          <w:tblCellSpacing w:w="0" w:type="dxa"/>
        </w:trPr>
        <w:tc>
          <w:tcPr>
            <w:tcW w:w="34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Нормативное обеспечение, закрепление стандартов поведения и декларация намерений.</w:t>
            </w: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101956" w:rsidTr="0010195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956" w:rsidRDefault="00101956">
            <w:pPr>
              <w:rPr>
                <w:color w:val="454545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Разработка и внедрение положения о конфликте интересов</w:t>
            </w:r>
          </w:p>
        </w:tc>
      </w:tr>
      <w:tr w:rsidR="00101956" w:rsidTr="0010195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956" w:rsidRDefault="00101956">
            <w:pPr>
              <w:rPr>
                <w:color w:val="454545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101956" w:rsidTr="0010195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956" w:rsidRDefault="00101956">
            <w:pPr>
              <w:rPr>
                <w:color w:val="454545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101956" w:rsidTr="00101956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956" w:rsidRDefault="00101956">
            <w:pPr>
              <w:rPr>
                <w:color w:val="454545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Введение антикоррупционных положений в трудовые договора работников</w:t>
            </w:r>
          </w:p>
        </w:tc>
      </w:tr>
      <w:tr w:rsidR="00101956" w:rsidTr="00101956">
        <w:trPr>
          <w:trHeight w:val="240"/>
          <w:tblCellSpacing w:w="0" w:type="dxa"/>
        </w:trPr>
        <w:tc>
          <w:tcPr>
            <w:tcW w:w="34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Разработка и введение специальных антикоррупционных процедур</w:t>
            </w: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101956" w:rsidTr="0010195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956" w:rsidRDefault="00101956">
            <w:pPr>
              <w:rPr>
                <w:color w:val="454545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proofErr w:type="gramStart"/>
            <w:r>
              <w:rPr>
                <w:color w:val="000000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101956" w:rsidTr="0010195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956" w:rsidRDefault="00101956">
            <w:pPr>
              <w:rPr>
                <w:color w:val="454545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101956" w:rsidTr="0010195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956" w:rsidRDefault="00101956">
            <w:pPr>
              <w:rPr>
                <w:color w:val="454545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101956" w:rsidTr="0010195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956" w:rsidRDefault="00101956">
            <w:pPr>
              <w:rPr>
                <w:color w:val="454545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101956" w:rsidTr="00101956">
        <w:trPr>
          <w:trHeight w:val="240"/>
          <w:tblCellSpacing w:w="0" w:type="dxa"/>
        </w:trPr>
        <w:tc>
          <w:tcPr>
            <w:tcW w:w="3402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Обучение и информирование работников</w:t>
            </w: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101956" w:rsidTr="0010195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101956" w:rsidRDefault="00101956">
            <w:pPr>
              <w:rPr>
                <w:color w:val="454545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101956" w:rsidTr="0010195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101956" w:rsidRDefault="00101956">
            <w:pPr>
              <w:rPr>
                <w:color w:val="454545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101956" w:rsidTr="00101956">
        <w:trPr>
          <w:trHeight w:val="240"/>
          <w:tblCellSpacing w:w="0" w:type="dxa"/>
        </w:trPr>
        <w:tc>
          <w:tcPr>
            <w:tcW w:w="34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Осуществление регулярного контроля соблюдения внутренних процедур</w:t>
            </w:r>
          </w:p>
        </w:tc>
      </w:tr>
      <w:tr w:rsidR="00101956" w:rsidTr="0010195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956" w:rsidRDefault="00101956">
            <w:pPr>
              <w:rPr>
                <w:color w:val="454545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101956" w:rsidTr="0010195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956" w:rsidRDefault="00101956">
            <w:pPr>
              <w:rPr>
                <w:color w:val="454545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101956" w:rsidTr="00101956">
        <w:trPr>
          <w:trHeight w:val="240"/>
          <w:tblCellSpacing w:w="0" w:type="dxa"/>
        </w:trPr>
        <w:tc>
          <w:tcPr>
            <w:tcW w:w="34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101956" w:rsidTr="00101956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1956" w:rsidRDefault="00101956">
            <w:pPr>
              <w:rPr>
                <w:color w:val="454545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01956" w:rsidRDefault="00101956">
            <w:pPr>
              <w:pStyle w:val="a3"/>
              <w:spacing w:line="236" w:lineRule="atLeast"/>
              <w:ind w:firstLine="46"/>
              <w:rPr>
                <w:color w:val="454545"/>
              </w:rPr>
            </w:pPr>
            <w:r>
              <w:rPr>
                <w:color w:val="000000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101956" w:rsidRDefault="00101956" w:rsidP="00101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 xml:space="preserve">В целях обеспечения перечня антикоррупционных мероприятий образовательная организация ежегодно утверждает план реализации антикоррупционных мероприятий.   </w:t>
      </w:r>
    </w:p>
    <w:p w:rsidR="00101956" w:rsidRDefault="00101956" w:rsidP="00101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составлении такого плана для каждого мероприятия указываются сроки его проведения и ответственный исполнитель.</w:t>
      </w:r>
    </w:p>
    <w:p w:rsidR="00101956" w:rsidRDefault="00101956" w:rsidP="00101956">
      <w:pPr>
        <w:pStyle w:val="a3"/>
        <w:keepNext/>
        <w:spacing w:after="0" w:afterAutospacing="0"/>
        <w:ind w:firstLine="709"/>
        <w:jc w:val="center"/>
        <w:rPr>
          <w:color w:val="454545"/>
        </w:rPr>
      </w:pPr>
      <w:r>
        <w:rPr>
          <w:b/>
          <w:bCs/>
          <w:i/>
          <w:iCs/>
          <w:color w:val="000000"/>
        </w:rPr>
        <w:t>Оценка коррупционных рисков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образовательной организации и рационально использовать ресурсы, направляемые на проведение работы по профилактике коррупции.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Оценка коррупционных рисков проводится как на стадии разработки Антикоррупционной политики, так и после ее утверждения на регулярной основе.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 xml:space="preserve">Целью оценки коррупционных рисков является определение конкретных процессов и видов деятельности </w:t>
      </w:r>
      <w:r>
        <w:t>образовательной организации</w:t>
      </w:r>
      <w:r>
        <w:rPr>
          <w:color w:val="000000"/>
        </w:rPr>
        <w:t xml:space="preserve">, при реализации которых наиболее высока вероятность совершения работниками коррупционных правонарушений, как в целях получения личной выгоды, так и в целях получения выгоды образовательной организацией. </w:t>
      </w:r>
    </w:p>
    <w:p w:rsidR="00101956" w:rsidRPr="00286056" w:rsidRDefault="00101956" w:rsidP="00286056">
      <w:pPr>
        <w:pStyle w:val="a3"/>
        <w:spacing w:after="0" w:afterAutospacing="0"/>
        <w:ind w:firstLine="709"/>
        <w:jc w:val="center"/>
        <w:rPr>
          <w:i/>
          <w:color w:val="454545"/>
        </w:rPr>
      </w:pPr>
      <w:r>
        <w:rPr>
          <w:b/>
          <w:i/>
          <w:color w:val="000000"/>
        </w:rPr>
        <w:t>Порядок проведения оценки коррупционных рисков: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- представить деятельность образовательной организации в виде отдельных процессов, в каждом из которых выделить составные элементы (</w:t>
      </w:r>
      <w:proofErr w:type="spellStart"/>
      <w:r>
        <w:rPr>
          <w:color w:val="000000"/>
        </w:rPr>
        <w:t>подпроцессы</w:t>
      </w:r>
      <w:proofErr w:type="spellEnd"/>
      <w:r>
        <w:rPr>
          <w:color w:val="000000"/>
        </w:rPr>
        <w:t>);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454545"/>
        </w:rPr>
        <w:t xml:space="preserve">- </w:t>
      </w:r>
      <w:r>
        <w:rPr>
          <w:color w:val="000000"/>
        </w:rPr>
        <w:t>выделить «критические точки» - для каждого процесса и определить те элементы (</w:t>
      </w:r>
      <w:proofErr w:type="spellStart"/>
      <w:r>
        <w:rPr>
          <w:color w:val="000000"/>
        </w:rPr>
        <w:t>подпроцессы</w:t>
      </w:r>
      <w:proofErr w:type="spellEnd"/>
      <w:r>
        <w:rPr>
          <w:color w:val="000000"/>
        </w:rPr>
        <w:t>), при реализации которых наиболее вероятно возникновение коррупционных правонарушений.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Для каждого </w:t>
      </w:r>
      <w:proofErr w:type="spellStart"/>
      <w:r>
        <w:rPr>
          <w:color w:val="000000"/>
        </w:rPr>
        <w:t>подпроцесса</w:t>
      </w:r>
      <w:proofErr w:type="spellEnd"/>
      <w:r>
        <w:rPr>
          <w:color w:val="000000"/>
        </w:rPr>
        <w:t>, реализация которого связана с коррупционным риском: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 xml:space="preserve"> - составить описание возможных коррупционных правонарушений, включающее: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1) характеристику выгоды или преимущества, которое может быть получено учреждением или ее отдельными работниками при совершении «коррупционного правонарушения»;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2) должности в образовательной организации, которые являются «ключевыми» для совершения коррупционного правонарушения;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участие</w:t>
      </w:r>
      <w:proofErr w:type="gramEnd"/>
      <w:r>
        <w:rPr>
          <w:color w:val="000000"/>
        </w:rPr>
        <w:t xml:space="preserve"> каких должностных лиц образовательной организации необходимо, чтобы совершение коррупционного правонарушения стало возможным;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4) вероятные формы осуществления коррупционных платежей.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разработать комплекс мер по устранению или минимизации коррупционных рисков. </w:t>
      </w:r>
    </w:p>
    <w:p w:rsidR="00101956" w:rsidRDefault="00101956" w:rsidP="00286056">
      <w:pPr>
        <w:pStyle w:val="a3"/>
        <w:keepNext/>
        <w:spacing w:after="0" w:afterAutospacing="0"/>
        <w:ind w:firstLine="709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8. Ответственность сотрудников за несоблюдение требований Антикоррупционной политики</w:t>
      </w:r>
    </w:p>
    <w:p w:rsidR="00286056" w:rsidRPr="00286056" w:rsidRDefault="00286056" w:rsidP="00286056">
      <w:pPr>
        <w:pStyle w:val="a7"/>
      </w:pP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8.1. Своевременное выявление конфликта интересов в деятельности работников образовательной организации является одним из ключевых элементов предотвращения коррупционных правонарушений.</w:t>
      </w:r>
      <w:r>
        <w:rPr>
          <w:color w:val="454545"/>
        </w:rPr>
        <w:t xml:space="preserve"> </w:t>
      </w:r>
      <w:r>
        <w:rPr>
          <w:color w:val="000000"/>
        </w:rPr>
        <w:t xml:space="preserve">При этом следует учитывать, что конфликт интересов может принимать множество различных форм. С целью регулирования и предотвращения конфликта интересов в деятельности своих работников в образовательной организации следует принять Положение о конфликте интересов. 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образовательной организации в ходе выполнения ими трудовых обязанностей. </w:t>
      </w:r>
    </w:p>
    <w:p w:rsidR="00101956" w:rsidRDefault="00101956" w:rsidP="00101956">
      <w:pPr>
        <w:pStyle w:val="a3"/>
        <w:keepNext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8.2. В </w:t>
      </w:r>
      <w:r>
        <w:t>образовательной организации</w:t>
      </w:r>
      <w:r>
        <w:rPr>
          <w:color w:val="000000"/>
        </w:rPr>
        <w:t xml:space="preserve">  проводится </w:t>
      </w:r>
      <w:proofErr w:type="gramStart"/>
      <w:r>
        <w:rPr>
          <w:color w:val="000000"/>
        </w:rPr>
        <w:t>обучение работников по вопросам</w:t>
      </w:r>
      <w:proofErr w:type="gramEnd"/>
      <w:r>
        <w:rPr>
          <w:color w:val="000000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 xml:space="preserve">- юридическая ответственность за совершение коррупционных правонарушений; 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- ознакомление с требованиями законодательства и внутренними документами образовательной организации по вопросам противодействия коррупции и порядком их применения в деятельности организации;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- выявление и разрешение конфликта интересов при выполнении трудовых обязанностей;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- взаимодействие с правоохранительными органами по вопросам профилактики и противодействия коррупции.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Возможны следующие виды обучения: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обучение по вопросам</w:t>
      </w:r>
      <w:proofErr w:type="gramEnd"/>
      <w:r>
        <w:rPr>
          <w:color w:val="000000"/>
        </w:rPr>
        <w:t xml:space="preserve"> профилактики и противодействия коррупции непосредственно после приема на работу;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- периодическое обучение работников с целью поддержания их знаний и навыков в сфере противодействия коррупции на должном уровне;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 xml:space="preserve">Консультирование по вопросам противодействия коррупции осуществляется в индивидуальном порядке. 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454545"/>
        </w:rPr>
        <w:t xml:space="preserve">8.3. </w:t>
      </w:r>
      <w:r>
        <w:rPr>
          <w:color w:val="000000"/>
        </w:rPr>
        <w:t xml:space="preserve">Федеральным законом от 06.12.2011 № 402-ФЗ </w:t>
      </w:r>
      <w:r>
        <w:rPr>
          <w:color w:val="454545"/>
        </w:rPr>
        <w:t xml:space="preserve"> </w:t>
      </w:r>
      <w:r>
        <w:rPr>
          <w:color w:val="000000"/>
        </w:rPr>
        <w:t xml:space="preserve">«О бухгалтерском учете» установлена обязанность организации </w:t>
      </w:r>
      <w:proofErr w:type="gramStart"/>
      <w:r>
        <w:rPr>
          <w:color w:val="000000"/>
        </w:rPr>
        <w:t>осуществлять</w:t>
      </w:r>
      <w:proofErr w:type="gramEnd"/>
      <w:r>
        <w:rPr>
          <w:color w:val="000000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Система внутреннего контроля и аудита учреждения может способствовать профилактике и выявлению коррупционных правонарушений в деятельности образовательной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образовательной организации и обеспечение соответствия деятельности образовательной организации требованиям нормативных правовых актов и локальных нормативных актов. Для этого система внутреннего контроля и аудита должна учитывать требования антикоррупционной политики, реализуемой образовательной организацией, в том числе: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контроль документирования операций хозяйственной деятельности образовательной организации; </w:t>
      </w:r>
    </w:p>
    <w:p w:rsidR="00101956" w:rsidRDefault="00101956" w:rsidP="001019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Контроль документирования операций хозяйственной </w:t>
      </w:r>
      <w:proofErr w:type="gramStart"/>
      <w:r>
        <w:rPr>
          <w:color w:val="000000"/>
        </w:rPr>
        <w:t>деятельности</w:t>
      </w:r>
      <w:proofErr w:type="gramEnd"/>
      <w:r>
        <w:rPr>
          <w:color w:val="000000"/>
        </w:rPr>
        <w:t xml:space="preserve"> прежде всего связан с обязанностью ведения финансовой (бухгалтерской) отчетности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 </w:t>
      </w:r>
    </w:p>
    <w:p w:rsidR="00101956" w:rsidRDefault="00101956" w:rsidP="00101956">
      <w:pPr>
        <w:ind w:firstLine="709"/>
        <w:jc w:val="both"/>
      </w:pPr>
      <w:r>
        <w:rPr>
          <w:color w:val="000000"/>
        </w:rPr>
        <w:lastRenderedPageBreak/>
        <w:t>- проверка экономической обоснованности осуществляемых операций в сферах коррупционного риска.</w:t>
      </w:r>
      <w:r>
        <w:t xml:space="preserve"> </w:t>
      </w:r>
    </w:p>
    <w:p w:rsidR="00101956" w:rsidRDefault="00101956" w:rsidP="00101956">
      <w:pPr>
        <w:ind w:firstLine="709"/>
        <w:jc w:val="both"/>
      </w:pPr>
      <w: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благотворительных пожертвований, вознаграждений внешним консультантам и других сфер. При этом следует обращать внимание на наличие обстоятельств – индикаторов неправомерных действий, например:</w:t>
      </w:r>
    </w:p>
    <w:p w:rsidR="00101956" w:rsidRDefault="00101956" w:rsidP="00101956">
      <w:pPr>
        <w:tabs>
          <w:tab w:val="left" w:pos="851"/>
        </w:tabs>
        <w:ind w:firstLine="709"/>
        <w:jc w:val="both"/>
      </w:pPr>
      <w:r>
        <w:t>- оплата услуг, характер которых не определен либо вызывает сомнения;</w:t>
      </w:r>
    </w:p>
    <w:p w:rsidR="00101956" w:rsidRDefault="00101956" w:rsidP="00101956">
      <w:pPr>
        <w:tabs>
          <w:tab w:val="left" w:pos="851"/>
        </w:tabs>
        <w:ind w:firstLine="709"/>
        <w:jc w:val="both"/>
      </w:pPr>
      <w:r>
        <w:t>- предоставление дорогостоящих подарков, оплата транспортных, развлекательных услуг,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101956" w:rsidRDefault="00101956" w:rsidP="00101956">
      <w:pPr>
        <w:tabs>
          <w:tab w:val="left" w:pos="851"/>
        </w:tabs>
        <w:ind w:firstLine="709"/>
        <w:jc w:val="both"/>
      </w:pPr>
      <w: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101956" w:rsidRDefault="00101956" w:rsidP="00101956">
      <w:pPr>
        <w:tabs>
          <w:tab w:val="left" w:pos="851"/>
        </w:tabs>
        <w:ind w:firstLine="709"/>
        <w:jc w:val="both"/>
      </w:pPr>
      <w:r>
        <w:t xml:space="preserve">- закупки или продажи по ценам, значительно отличающимся от </w:t>
      </w:r>
      <w:proofErr w:type="gramStart"/>
      <w:r>
        <w:t>рыночных</w:t>
      </w:r>
      <w:proofErr w:type="gramEnd"/>
      <w:r>
        <w:t>;</w:t>
      </w:r>
    </w:p>
    <w:p w:rsidR="00101956" w:rsidRDefault="00101956" w:rsidP="00101956">
      <w:pPr>
        <w:tabs>
          <w:tab w:val="left" w:pos="851"/>
        </w:tabs>
        <w:ind w:firstLine="709"/>
        <w:jc w:val="both"/>
      </w:pPr>
      <w:r>
        <w:t>- сомнительные платежи наличными.</w:t>
      </w:r>
    </w:p>
    <w:p w:rsidR="00101956" w:rsidRDefault="00101956" w:rsidP="00101956">
      <w:pPr>
        <w:tabs>
          <w:tab w:val="left" w:pos="720"/>
        </w:tabs>
        <w:ind w:firstLine="709"/>
        <w:jc w:val="both"/>
      </w:pPr>
      <w:r>
        <w:t>8.4. В рамках проводимых антикоррупционных мероприятий руководству образовательной организац</w:t>
      </w:r>
      <w:proofErr w:type="gramStart"/>
      <w:r>
        <w:t>ии и ее</w:t>
      </w:r>
      <w:proofErr w:type="gramEnd"/>
      <w:r>
        <w:t xml:space="preserve">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:rsidR="00101956" w:rsidRDefault="00101956" w:rsidP="00101956">
      <w:pPr>
        <w:tabs>
          <w:tab w:val="left" w:pos="851"/>
        </w:tabs>
        <w:ind w:firstLine="709"/>
        <w:jc w:val="both"/>
      </w:pPr>
      <w:r>
        <w:t>- 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101956" w:rsidRDefault="00101956" w:rsidP="00101956">
      <w:pPr>
        <w:tabs>
          <w:tab w:val="left" w:pos="851"/>
        </w:tabs>
        <w:ind w:firstLine="709"/>
        <w:jc w:val="both"/>
      </w:pPr>
      <w:r>
        <w:t>- сокрытие или утаивание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101956" w:rsidRDefault="00101956" w:rsidP="00101956">
      <w:pPr>
        <w:pStyle w:val="a3"/>
        <w:spacing w:after="0" w:afterAutospacing="0"/>
        <w:ind w:firstLine="709"/>
        <w:jc w:val="center"/>
        <w:rPr>
          <w:color w:val="454545"/>
        </w:rPr>
      </w:pPr>
      <w:r>
        <w:rPr>
          <w:b/>
          <w:bCs/>
          <w:iCs/>
          <w:color w:val="000000"/>
        </w:rPr>
        <w:t>9. Порядок пересмотра и внесения изменений в Антикоррупционную политику учреждения</w:t>
      </w:r>
    </w:p>
    <w:p w:rsidR="00101956" w:rsidRDefault="00101956" w:rsidP="00101956">
      <w:pPr>
        <w:pStyle w:val="a3"/>
        <w:spacing w:after="0" w:afterAutospacing="0"/>
        <w:ind w:firstLine="709"/>
        <w:jc w:val="both"/>
        <w:rPr>
          <w:color w:val="454545"/>
        </w:rPr>
      </w:pPr>
      <w:r>
        <w:rPr>
          <w:color w:val="000000"/>
        </w:rPr>
        <w:t>9.1. Антикоррупционная политика может быть пересмотрена, в нее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приложений.</w:t>
      </w:r>
    </w:p>
    <w:p w:rsidR="00101956" w:rsidRDefault="00101956" w:rsidP="00101956">
      <w:pPr>
        <w:ind w:firstLine="709"/>
        <w:rPr>
          <w:sz w:val="28"/>
          <w:szCs w:val="28"/>
        </w:rPr>
      </w:pPr>
    </w:p>
    <w:p w:rsidR="00B85FCB" w:rsidRDefault="00B85FCB"/>
    <w:p w:rsidR="00101956" w:rsidRDefault="00101956"/>
    <w:p w:rsidR="00101956" w:rsidRDefault="00101956"/>
    <w:p w:rsidR="00101956" w:rsidRDefault="00101956"/>
    <w:p w:rsidR="00101956" w:rsidRDefault="00101956"/>
    <w:p w:rsidR="00101956" w:rsidRDefault="00101956"/>
    <w:p w:rsidR="00101956" w:rsidRDefault="00101956"/>
    <w:p w:rsidR="00101956" w:rsidRDefault="00101956"/>
    <w:p w:rsidR="00101956" w:rsidRDefault="00101956"/>
    <w:p w:rsidR="00101956" w:rsidRDefault="00101956"/>
    <w:p w:rsidR="001A07F9" w:rsidRDefault="001A07F9"/>
    <w:p w:rsidR="001A07F9" w:rsidRDefault="001A07F9"/>
    <w:p w:rsidR="001A07F9" w:rsidRDefault="001A07F9"/>
    <w:p w:rsidR="001A07F9" w:rsidRDefault="001A07F9"/>
    <w:p w:rsidR="001A07F9" w:rsidRDefault="001A07F9"/>
    <w:p w:rsidR="001A07F9" w:rsidRDefault="001A07F9"/>
    <w:p w:rsidR="001A07F9" w:rsidRDefault="001A07F9"/>
    <w:p w:rsidR="00101956" w:rsidRDefault="00101956" w:rsidP="008902E6">
      <w:pPr>
        <w:shd w:val="clear" w:color="auto" w:fill="FFFFFF"/>
        <w:spacing w:line="288" w:lineRule="atLeast"/>
        <w:textAlignment w:val="baseline"/>
      </w:pPr>
    </w:p>
    <w:sectPr w:rsidR="0010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D28BC"/>
    <w:multiLevelType w:val="multilevel"/>
    <w:tmpl w:val="5F6C392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i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i/>
        <w:color w:val="000000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56"/>
    <w:rsid w:val="00101956"/>
    <w:rsid w:val="0014647F"/>
    <w:rsid w:val="001A07F9"/>
    <w:rsid w:val="001A257A"/>
    <w:rsid w:val="00265F90"/>
    <w:rsid w:val="00286056"/>
    <w:rsid w:val="00696565"/>
    <w:rsid w:val="007F3933"/>
    <w:rsid w:val="008902E6"/>
    <w:rsid w:val="00B85FCB"/>
    <w:rsid w:val="00C3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1956"/>
    <w:pPr>
      <w:spacing w:before="100" w:beforeAutospacing="1" w:after="100" w:afterAutospacing="1"/>
    </w:pPr>
  </w:style>
  <w:style w:type="paragraph" w:customStyle="1" w:styleId="ConsPlusNormal">
    <w:name w:val="ConsPlusNormal"/>
    <w:rsid w:val="00101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02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0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2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86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1956"/>
    <w:pPr>
      <w:spacing w:before="100" w:beforeAutospacing="1" w:after="100" w:afterAutospacing="1"/>
    </w:pPr>
  </w:style>
  <w:style w:type="paragraph" w:customStyle="1" w:styleId="ConsPlusNormal">
    <w:name w:val="ConsPlusNormal"/>
    <w:rsid w:val="00101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02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0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2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86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19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404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50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72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E9F5-83F0-44BA-8803-663A959F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Гурьевская СОШ</dc:creator>
  <cp:lastModifiedBy>Гурьевская СОШ</cp:lastModifiedBy>
  <cp:revision>7</cp:revision>
  <cp:lastPrinted>2017-02-09T08:25:00Z</cp:lastPrinted>
  <dcterms:created xsi:type="dcterms:W3CDTF">2017-02-02T08:06:00Z</dcterms:created>
  <dcterms:modified xsi:type="dcterms:W3CDTF">2017-02-13T12:43:00Z</dcterms:modified>
</cp:coreProperties>
</file>